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C10DA" w:rsidRPr="00A27F96" w:rsidRDefault="007C10DA" w:rsidP="00A27F96">
      <w:pPr>
        <w:rPr>
          <w:rFonts w:ascii="Verdana" w:hAnsi="Verdana"/>
          <w:color w:val="2D0A90"/>
          <w:sz w:val="22"/>
        </w:rPr>
      </w:pPr>
    </w:p>
    <w:p w:rsidR="00A43B0F" w:rsidRPr="00A43B0F" w:rsidRDefault="00A43B0F" w:rsidP="00A43B0F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A43B0F" w:rsidRDefault="00A43B0F" w:rsidP="00A43B0F">
      <w:pPr>
        <w:rPr>
          <w:rFonts w:ascii="Verdana" w:hAnsi="Verdana" w:cs="Arial"/>
          <w:color w:val="2D0A90"/>
        </w:rPr>
      </w:pPr>
      <w:r w:rsidRPr="00A43B0F">
        <w:rPr>
          <w:rFonts w:ascii="Verdana" w:hAnsi="Verdana" w:cs="Arial"/>
          <w:color w:val="2D0A90"/>
        </w:rPr>
        <w:t>IL SECOLO XIX         21 marzo 2006</w:t>
      </w:r>
    </w:p>
    <w:p w:rsidR="00A43B0F" w:rsidRPr="00A43B0F" w:rsidRDefault="00A43B0F" w:rsidP="00A43B0F">
      <w:pPr>
        <w:rPr>
          <w:rFonts w:ascii="Verdana" w:hAnsi="Verdana" w:cs="Arial"/>
          <w:color w:val="2D0A90"/>
        </w:rPr>
      </w:pPr>
    </w:p>
    <w:p w:rsidR="00A43B0F" w:rsidRPr="00A43B0F" w:rsidRDefault="00A43B0F" w:rsidP="00A43B0F">
      <w:pPr>
        <w:rPr>
          <w:rFonts w:ascii="Verdana" w:hAnsi="Verdana" w:cs="Arial"/>
          <w:color w:val="2D0A90"/>
        </w:rPr>
      </w:pPr>
    </w:p>
    <w:p w:rsidR="00A43B0F" w:rsidRPr="00A43B0F" w:rsidRDefault="00A43B0F" w:rsidP="00A43B0F">
      <w:pPr>
        <w:rPr>
          <w:rFonts w:ascii="Verdana" w:hAnsi="Verdana"/>
          <w:color w:val="2D0A90"/>
          <w:sz w:val="32"/>
          <w:szCs w:val="28"/>
        </w:rPr>
      </w:pPr>
      <w:r w:rsidRPr="00A43B0F">
        <w:rPr>
          <w:rFonts w:ascii="Verdana" w:hAnsi="Verdana"/>
          <w:color w:val="2D0A90"/>
          <w:sz w:val="32"/>
          <w:szCs w:val="28"/>
        </w:rPr>
        <w:t xml:space="preserve">Al </w:t>
      </w:r>
      <w:proofErr w:type="spellStart"/>
      <w:r w:rsidRPr="00A43B0F">
        <w:rPr>
          <w:rFonts w:ascii="Verdana" w:hAnsi="Verdana"/>
          <w:color w:val="2D0A90"/>
          <w:sz w:val="32"/>
          <w:szCs w:val="28"/>
        </w:rPr>
        <w:t>Cep</w:t>
      </w:r>
      <w:proofErr w:type="spellEnd"/>
      <w:r w:rsidRPr="00A43B0F">
        <w:rPr>
          <w:rFonts w:ascii="Verdana" w:hAnsi="Verdana"/>
          <w:color w:val="2D0A90"/>
          <w:sz w:val="32"/>
          <w:szCs w:val="28"/>
        </w:rPr>
        <w:t xml:space="preserve"> di </w:t>
      </w:r>
      <w:proofErr w:type="spellStart"/>
      <w:r w:rsidRPr="00A43B0F">
        <w:rPr>
          <w:rFonts w:ascii="Verdana" w:hAnsi="Verdana"/>
          <w:color w:val="2D0A90"/>
          <w:sz w:val="32"/>
          <w:szCs w:val="28"/>
        </w:rPr>
        <w:t>Prà</w:t>
      </w:r>
      <w:proofErr w:type="spellEnd"/>
      <w:r w:rsidRPr="00A43B0F">
        <w:rPr>
          <w:rFonts w:ascii="Verdana" w:hAnsi="Verdana"/>
          <w:color w:val="2D0A90"/>
          <w:sz w:val="32"/>
          <w:szCs w:val="28"/>
        </w:rPr>
        <w:t xml:space="preserve"> iniziative per tessere fili di appartenenza</w:t>
      </w:r>
    </w:p>
    <w:p w:rsidR="00A43B0F" w:rsidRPr="00A43B0F" w:rsidRDefault="00A43B0F" w:rsidP="00A43B0F">
      <w:pPr>
        <w:rPr>
          <w:rFonts w:ascii="Verdana" w:hAnsi="Verdana"/>
          <w:color w:val="2D0A90"/>
          <w:sz w:val="20"/>
          <w:szCs w:val="28"/>
        </w:rPr>
      </w:pPr>
      <w:r w:rsidRPr="00A43B0F">
        <w:rPr>
          <w:rFonts w:ascii="Verdana" w:hAnsi="Verdana"/>
          <w:color w:val="2D0A90"/>
          <w:sz w:val="32"/>
          <w:szCs w:val="28"/>
        </w:rPr>
        <w:t>“Formichine di territorio” operano per favorire l’integrazione</w:t>
      </w:r>
    </w:p>
    <w:p w:rsidR="00A43B0F" w:rsidRPr="00A43B0F" w:rsidRDefault="00A43B0F" w:rsidP="00A43B0F">
      <w:pPr>
        <w:rPr>
          <w:rFonts w:ascii="Verdana" w:hAnsi="Verdana"/>
          <w:b/>
          <w:bCs/>
          <w:color w:val="2D0A90"/>
          <w:sz w:val="52"/>
          <w:szCs w:val="28"/>
        </w:rPr>
      </w:pPr>
    </w:p>
    <w:p w:rsidR="00A43B0F" w:rsidRDefault="00A43B0F" w:rsidP="00A43B0F">
      <w:pPr>
        <w:rPr>
          <w:rFonts w:ascii="Verdana" w:hAnsi="Verdana"/>
          <w:bCs/>
          <w:color w:val="2D0A90"/>
          <w:sz w:val="96"/>
          <w:szCs w:val="28"/>
        </w:rPr>
      </w:pPr>
      <w:r w:rsidRPr="00A43B0F">
        <w:rPr>
          <w:rFonts w:ascii="Verdana" w:hAnsi="Verdana"/>
          <w:bCs/>
          <w:color w:val="2D0A90"/>
          <w:sz w:val="96"/>
          <w:szCs w:val="28"/>
        </w:rPr>
        <w:t>La periferia scopre l’orgoglio</w:t>
      </w:r>
    </w:p>
    <w:p w:rsidR="00A43B0F" w:rsidRPr="00A43B0F" w:rsidRDefault="00A43B0F" w:rsidP="00A43B0F">
      <w:pPr>
        <w:rPr>
          <w:rFonts w:ascii="Verdana" w:hAnsi="Verdana"/>
          <w:bCs/>
          <w:color w:val="2D0A90"/>
          <w:sz w:val="96"/>
          <w:szCs w:val="28"/>
        </w:rPr>
      </w:pPr>
    </w:p>
    <w:p w:rsidR="00A43B0F" w:rsidRPr="00A43B0F" w:rsidRDefault="00A43B0F" w:rsidP="00A43B0F">
      <w:pPr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Da qualche tempo mi capita di essere d’accordo con qualcuno, la qualcosa inizia a preoccuparmi: decadimento senile?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Scherzi a parte, trovo di grande interesse il lavoro di territorio avviato dal nostro Assessorato alla Cultura, alla ricerca di possibili identità progettuali che ridiano un ruolo alle nostre periferie.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Per dirla con il ben noto architetto e urbanista Vittorio Gregotti, “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centrificazione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”.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Senza che ciò significhi pensare di riprodurre tanti centri in miniatura; semmai ridare nuovo senso e significato ad aree urbane che li hanno smarriti da tempo.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Se ne è discusso in un seminario il 25 febbraio scorso, nella straordinaria cornice del Centro Civico di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Cornigliano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. Partecipavano studiosi e operatori di territorio.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I primi - tra cui l’autore di queste note - hanno esibito vocabolari “alti” e modelli interpretativi di preziosa astrattezza.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Molto più interessanti le testimonianze della seconda popolazione.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A riprova che quando si dà voce a quelli che sul campo ci stanno, avviene il miracolo: la vita vissuta irrompe nelle analisi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di scuola</w:t>
      </w:r>
      <w:r w:rsidRPr="00A43B0F">
        <w:rPr>
          <w:rFonts w:ascii="Verdana" w:hAnsi="Verdana"/>
          <w:color w:val="2D0A90"/>
          <w:sz w:val="22"/>
          <w:szCs w:val="28"/>
        </w:rPr>
        <w:t xml:space="preserve"> con la potenza irriducibile della sua concretezza.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E si scoprono realtà che scaldano il cuore, seppure escluse - per lo più - dal cono di luce della visibilità politica mediatizzata.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Insomma, ci si accorge con rammarico che il resto della città - purtroppo - ne sa poco o niente.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Ad esempio quanto si sta facendo al Centro Edilizia Popolare di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Prà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 (CEP), uno di quei mostri urbanistici sorti nella nostra periferia dal dopoguerra ad oggi: la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Diga</w:t>
      </w:r>
      <w:r w:rsidRPr="00A43B0F">
        <w:rPr>
          <w:rFonts w:ascii="Verdana" w:hAnsi="Verdana"/>
          <w:color w:val="2D0A90"/>
          <w:sz w:val="22"/>
          <w:szCs w:val="28"/>
        </w:rPr>
        <w:t xml:space="preserve"> di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Begato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, le famigerate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Lavatrici</w:t>
      </w:r>
      <w:r w:rsidRPr="00A43B0F">
        <w:rPr>
          <w:rFonts w:ascii="Verdana" w:hAnsi="Verdana"/>
          <w:color w:val="2D0A90"/>
          <w:sz w:val="22"/>
          <w:szCs w:val="28"/>
        </w:rPr>
        <w:t xml:space="preserve"> di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Pegli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, il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Biscione</w:t>
      </w:r>
      <w:r w:rsidRPr="00A43B0F">
        <w:rPr>
          <w:rFonts w:ascii="Verdana" w:hAnsi="Verdana"/>
          <w:color w:val="2D0A90"/>
          <w:sz w:val="22"/>
          <w:szCs w:val="28"/>
        </w:rPr>
        <w:t xml:space="preserve">,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Quarto Alta</w:t>
      </w:r>
      <w:r w:rsidRPr="00A43B0F">
        <w:rPr>
          <w:rFonts w:ascii="Verdana" w:hAnsi="Verdana"/>
          <w:color w:val="2D0A90"/>
          <w:sz w:val="22"/>
          <w:szCs w:val="28"/>
        </w:rPr>
        <w:t>... una Genova tenuta nascosta, né amata né amabile.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Il CEP, sorto alla fine degli anni Settanta, doveva provvedere case popolari ai meno abbienti.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Ben presto fu trasformato nella discarica degli indesiderabili (ex detenuti, sfrattati morosi o inquisiti in attesa di giudizio), con quali effetti sulla civile convivenza è facile immaginare.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Del resto, da questa destinazione a tacito uso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segregativo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 discendeva l’assenza di servizi primari, come l‘ufficio postale; sicché un anziano, sino a non molto tempo fa, era costretto a prendere due bus solo per ritirare la pensione.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Si diffondeva il fenomeno delle bande, tanto che i mezzi pubblici dovevano essere scortati dalla polizia.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i/>
          <w:iCs/>
          <w:color w:val="2D0A90"/>
          <w:sz w:val="22"/>
          <w:szCs w:val="28"/>
        </w:rPr>
        <w:t>Dulcis in fundo</w:t>
      </w:r>
      <w:r w:rsidRPr="00A43B0F">
        <w:rPr>
          <w:rFonts w:ascii="Verdana" w:hAnsi="Verdana"/>
          <w:color w:val="2D0A90"/>
          <w:sz w:val="22"/>
          <w:szCs w:val="28"/>
        </w:rPr>
        <w:t xml:space="preserve">, le coppie dei figli di residenti che hanno trovato lavoro ancora oggi non possono entrare nelle graduatorie per l’assegnazione di un alloggio vicino ai parenti; con tanti saluti alla possibilità di far attecchire rudimenti di tessuto comunitario.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Dunque, “il quartiere dimenticato” come un deserto di socialità.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Ora vi opera un’organizzazione di volontariato aderente all’ARCI, il Circolo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Pianacci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, con iniziative ammirevoli; finalizzate a tessere fili di appartenenza: dai concerti all’aperto ai corsi di alfabetizzazione ad Internet per anziani, tenuti dagli studenti grazie alla collaborazione con le scuole di zona (la Media Quasimodo e gli Istituti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Bergese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,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Odero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 e Rosselli). 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Con felice autoironia ne sintetizza il significato Carlo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Besana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, il farmacista del CEP che è una delle anime dell’operazione: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 xml:space="preserve">CEP </w:t>
      </w:r>
      <w:proofErr w:type="spellStart"/>
      <w:r w:rsidRPr="00A43B0F">
        <w:rPr>
          <w:rFonts w:ascii="Verdana" w:hAnsi="Verdana"/>
          <w:i/>
          <w:iCs/>
          <w:color w:val="2D0A90"/>
          <w:sz w:val="22"/>
          <w:szCs w:val="28"/>
        </w:rPr>
        <w:t>pride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>, fierezza di abitare al CEP.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Insomma, silenziose “formichine di territorio” sono all’opera nello spazio di frontiera per ricreare società, favorire integrazione.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Ciò che i sociologi definivano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legature</w:t>
      </w:r>
      <w:r w:rsidRPr="00A43B0F">
        <w:rPr>
          <w:rFonts w:ascii="Verdana" w:hAnsi="Verdana"/>
          <w:color w:val="2D0A90"/>
          <w:sz w:val="22"/>
          <w:szCs w:val="28"/>
        </w:rPr>
        <w:t xml:space="preserve"> e oggi chiamiamo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capitale relazionale</w:t>
      </w:r>
      <w:r w:rsidRPr="00A43B0F">
        <w:rPr>
          <w:rFonts w:ascii="Verdana" w:hAnsi="Verdana"/>
          <w:color w:val="2D0A90"/>
          <w:sz w:val="22"/>
          <w:szCs w:val="28"/>
        </w:rPr>
        <w:t>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Ma questo è solo un aspetto della strategia necessaria per il superamento del dualismo centro-periferie.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L’altro è un progetto civico che renda tali periferie “soggetto significativo”.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Come, specie a Ponente, lo erano negli anni in cui i lavoratori delle fabbriche - detto in 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 xml:space="preserve">sindacalese </w:t>
      </w:r>
      <w:r w:rsidRPr="00A43B0F">
        <w:rPr>
          <w:rFonts w:ascii="Verdana" w:hAnsi="Verdana"/>
          <w:color w:val="2D0A90"/>
          <w:sz w:val="22"/>
          <w:szCs w:val="28"/>
        </w:rPr>
        <w:t>- davano soggettività al territorio già con la loro semplice presenza; poi con le lotte per i diritti e i risarcimenti.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Ora nulla è più come prima.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Nella globalizzazione “liquida” avanzano dinamiche di svendita tanto del lavoro come del territorio.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È in questa luce che va ripensato lo stesso concetto di “periferia”.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Non più l’area in cui la città inizia a farsi campagna, ma luogo della marginalità economica e sociale; in cui maturano pericolose forme di degrado.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I quartieri dormitorio di chi è restato fuori (</w:t>
      </w:r>
      <w:r w:rsidRPr="00A43B0F">
        <w:rPr>
          <w:rFonts w:ascii="Verdana" w:hAnsi="Verdana"/>
          <w:i/>
          <w:iCs/>
          <w:color w:val="2D0A90"/>
          <w:sz w:val="22"/>
          <w:szCs w:val="28"/>
        </w:rPr>
        <w:t>outsider</w:t>
      </w:r>
      <w:r w:rsidRPr="00A43B0F">
        <w:rPr>
          <w:rFonts w:ascii="Verdana" w:hAnsi="Verdana"/>
          <w:color w:val="2D0A90"/>
          <w:sz w:val="22"/>
          <w:szCs w:val="28"/>
        </w:rPr>
        <w:t>), tipici della città globalizzata.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Anche Genova conosce la formazione dei nuovi dualismi, contrapponendo alla città periferica degli </w:t>
      </w:r>
      <w:proofErr w:type="spellStart"/>
      <w:r w:rsidRPr="00A43B0F">
        <w:rPr>
          <w:rFonts w:ascii="Verdana" w:hAnsi="Verdana"/>
          <w:i/>
          <w:iCs/>
          <w:color w:val="2D0A90"/>
          <w:sz w:val="22"/>
          <w:szCs w:val="28"/>
        </w:rPr>
        <w:t>outsiders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 il centro abitato dagli </w:t>
      </w:r>
      <w:proofErr w:type="spellStart"/>
      <w:r w:rsidRPr="00A43B0F">
        <w:rPr>
          <w:rFonts w:ascii="Verdana" w:hAnsi="Verdana"/>
          <w:i/>
          <w:iCs/>
          <w:color w:val="2D0A90"/>
          <w:sz w:val="22"/>
          <w:szCs w:val="28"/>
        </w:rPr>
        <w:t>insiders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: la solita rendita e le professioni vincenti di quest’epoca (gli intermediari strategici e gli analisti simbolici, i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brokers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 marittimi e gli studi professionali). Insomma, l’inserimento o meno nelle dinamiche di riproduzione della ricchezza e i conseguenti rapporti di dominio come chiavi per interpretare le gerarchie nel nuovo spazio urbano.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>Abbandonate all’insignificanza economica che diventa umana, le periferie cittadine conoscono un altro fenomeno tipico di questi anni: le cosiddette guerre tra poveri, di cui è inquietante esempio lo scontro al calor bianco sull’ubicazione della moschea.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Guerre tra poveri che producono pericolosissime identità difensive. Una tendenza cui ci si può opporre solo virando l’energia sociale a proposta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identitaria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>.</w:t>
      </w: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Come si vede, le generose “formichine” di territorio stanno facendo la loro parte.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  <w:r w:rsidRPr="00A43B0F">
        <w:rPr>
          <w:rFonts w:ascii="Verdana" w:hAnsi="Verdana"/>
          <w:color w:val="2D0A90"/>
          <w:sz w:val="22"/>
          <w:szCs w:val="28"/>
        </w:rPr>
        <w:t xml:space="preserve">La politica ancora deve fare la sua, offrendo progetti - credibili e condivisi - di uscita in positivo dalla marginalità. </w:t>
      </w: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Pr="00A43B0F" w:rsidRDefault="00A43B0F" w:rsidP="00A43B0F">
      <w:pPr>
        <w:ind w:firstLine="881"/>
        <w:rPr>
          <w:rFonts w:ascii="Verdana" w:hAnsi="Verdana"/>
          <w:color w:val="2D0A90"/>
          <w:sz w:val="22"/>
          <w:szCs w:val="28"/>
        </w:rPr>
      </w:pPr>
    </w:p>
    <w:p w:rsidR="00A43B0F" w:rsidRPr="00A43B0F" w:rsidRDefault="00A43B0F" w:rsidP="00A43B0F">
      <w:pPr>
        <w:rPr>
          <w:rFonts w:ascii="Verdana" w:hAnsi="Verdana"/>
          <w:color w:val="2D0A90"/>
          <w:sz w:val="22"/>
        </w:rPr>
      </w:pPr>
      <w:proofErr w:type="spellStart"/>
      <w:r w:rsidRPr="00A43B0F">
        <w:rPr>
          <w:rFonts w:ascii="Verdana" w:hAnsi="Verdana"/>
          <w:color w:val="2D0A90"/>
          <w:sz w:val="22"/>
          <w:szCs w:val="28"/>
        </w:rPr>
        <w:t>Pierfranco</w:t>
      </w:r>
      <w:proofErr w:type="spellEnd"/>
      <w:r w:rsidRPr="00A43B0F">
        <w:rPr>
          <w:rFonts w:ascii="Verdana" w:hAnsi="Verdana"/>
          <w:color w:val="2D0A90"/>
          <w:sz w:val="22"/>
          <w:szCs w:val="28"/>
        </w:rPr>
        <w:t xml:space="preserve"> </w:t>
      </w:r>
      <w:proofErr w:type="spellStart"/>
      <w:r w:rsidRPr="00A43B0F">
        <w:rPr>
          <w:rFonts w:ascii="Verdana" w:hAnsi="Verdana"/>
          <w:color w:val="2D0A90"/>
          <w:sz w:val="22"/>
          <w:szCs w:val="28"/>
        </w:rPr>
        <w:t>Pellizzetti</w:t>
      </w:r>
      <w:proofErr w:type="spellEnd"/>
    </w:p>
    <w:p w:rsidR="00A43B0F" w:rsidRPr="00A43B0F" w:rsidRDefault="00A43B0F" w:rsidP="00A43B0F">
      <w:pPr>
        <w:rPr>
          <w:rFonts w:ascii="Verdana" w:hAnsi="Verdana"/>
          <w:color w:val="2D0A90"/>
          <w:sz w:val="22"/>
        </w:rPr>
      </w:pPr>
    </w:p>
    <w:p w:rsidR="00A43B0F" w:rsidRPr="00A43B0F" w:rsidRDefault="00A43B0F" w:rsidP="00A43B0F">
      <w:pPr>
        <w:ind w:firstLine="851"/>
        <w:rPr>
          <w:rFonts w:ascii="Verdana" w:hAnsi="Verdana" w:cs="Arial"/>
          <w:color w:val="2D0A90"/>
          <w:sz w:val="22"/>
        </w:rPr>
      </w:pPr>
    </w:p>
    <w:p w:rsidR="00A43B0F" w:rsidRPr="00A43B0F" w:rsidRDefault="00A43B0F" w:rsidP="00A43B0F">
      <w:pPr>
        <w:ind w:firstLine="851"/>
        <w:rPr>
          <w:rFonts w:ascii="Verdana" w:hAnsi="Verdana" w:cs="Arial"/>
          <w:color w:val="2D0A90"/>
        </w:rPr>
      </w:pPr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2016-05-30T15:16:00Z</dcterms:created>
  <dcterms:modified xsi:type="dcterms:W3CDTF">2016-05-30T15:16:00Z</dcterms:modified>
</cp:coreProperties>
</file>